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0662" w14:textId="77777777" w:rsidR="00EB7599" w:rsidRPr="004F5E80" w:rsidRDefault="009A45B1" w:rsidP="004F5E80">
      <w:pPr>
        <w:pStyle w:val="Heading1"/>
        <w:spacing w:before="0"/>
        <w:rPr>
          <w:color w:val="000000" w:themeColor="text1"/>
        </w:rPr>
      </w:pPr>
      <w:r w:rsidRPr="004F5E80">
        <w:rPr>
          <w:color w:val="000000" w:themeColor="text1"/>
        </w:rPr>
        <w:t>Key Discussion Themes</w:t>
      </w:r>
    </w:p>
    <w:p w14:paraId="3F94DE41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Healthcare Access &amp; Workforce Sustainability</w:t>
      </w:r>
    </w:p>
    <w:p w14:paraId="4D1F38CE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HEALTHCARE ACCESS CHALLENGES</w:t>
      </w:r>
    </w:p>
    <w:p w14:paraId="41D324D5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Communities across North Carolina continue experiencing provider shortages, longer wait times, increased travel distances for care, and growing pressure on local healthcare systems.</w:t>
      </w:r>
    </w:p>
    <w:p w14:paraId="5C38CBBB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WORKFORCE SUSTAINABILITY</w:t>
      </w:r>
    </w:p>
    <w:p w14:paraId="09ECA24C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Healthcare workforce shortages continue affecting hospitals, clinics, emergency care, surgical services, behavioral health, and rural healthcare access.</w:t>
      </w:r>
    </w:p>
    <w:p w14:paraId="561AFD86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RURAL COMMUNITY IMPACT</w:t>
      </w:r>
    </w:p>
    <w:p w14:paraId="647CD532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Healthcare access increasingly affects economic development, employer recruitment, workforce participation, population retention, and long-term community sustainability.</w:t>
      </w:r>
    </w:p>
    <w:p w14:paraId="240BBF00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OPERATIONAL REALITIES</w:t>
      </w:r>
    </w:p>
    <w:p w14:paraId="71AB22B0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Healthcare organizations continue balancing staffing shortages, patient demand, operational pressures, workforce recruitment, and long-term sustainability concerns.</w:t>
      </w:r>
    </w:p>
    <w:p w14:paraId="4D5EA2E9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PRACTICAL, COMMUNITY-FOCUSED CONVERSATIONS</w:t>
      </w:r>
    </w:p>
    <w:p w14:paraId="429CB0EB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Ongoing discussions increasingly focus on workforce sustainability, patient access, operational flexibility, healthcare infrastructure, and practical solutions that strengthen long-term healthcare delivery capacity.</w:t>
      </w:r>
    </w:p>
    <w:p w14:paraId="103BECE8" w14:textId="77777777" w:rsidR="00EB7599" w:rsidRPr="004F5E80" w:rsidRDefault="009A45B1" w:rsidP="004F5E80">
      <w:pPr>
        <w:pStyle w:val="Heading2"/>
        <w:spacing w:before="0"/>
        <w:rPr>
          <w:color w:val="000000" w:themeColor="text1"/>
        </w:rPr>
      </w:pPr>
      <w:r w:rsidRPr="004F5E80">
        <w:rPr>
          <w:color w:val="000000" w:themeColor="text1"/>
        </w:rPr>
        <w:t>KEY MESSAGE</w:t>
      </w:r>
    </w:p>
    <w:p w14:paraId="65FC4956" w14:textId="77777777" w:rsidR="00EB7599" w:rsidRPr="004F5E80" w:rsidRDefault="009A45B1" w:rsidP="004F5E80">
      <w:pPr>
        <w:rPr>
          <w:color w:val="000000" w:themeColor="text1"/>
        </w:rPr>
      </w:pPr>
      <w:r w:rsidRPr="004F5E80">
        <w:rPr>
          <w:color w:val="000000" w:themeColor="text1"/>
        </w:rPr>
        <w:t>Healthcare workforce sustainability and patient access are increasingly important community issues affecting long-term healthcare delivery, economic competitiveness, and quality of life across North Carolina communities.</w:t>
      </w:r>
    </w:p>
    <w:sectPr w:rsidR="00EB7599" w:rsidRPr="004F5E80" w:rsidSect="004F5E8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872594">
    <w:abstractNumId w:val="8"/>
  </w:num>
  <w:num w:numId="2" w16cid:durableId="1102798570">
    <w:abstractNumId w:val="6"/>
  </w:num>
  <w:num w:numId="3" w16cid:durableId="1065254558">
    <w:abstractNumId w:val="5"/>
  </w:num>
  <w:num w:numId="4" w16cid:durableId="266348459">
    <w:abstractNumId w:val="4"/>
  </w:num>
  <w:num w:numId="5" w16cid:durableId="466706788">
    <w:abstractNumId w:val="7"/>
  </w:num>
  <w:num w:numId="6" w16cid:durableId="273245264">
    <w:abstractNumId w:val="3"/>
  </w:num>
  <w:num w:numId="7" w16cid:durableId="567299799">
    <w:abstractNumId w:val="2"/>
  </w:num>
  <w:num w:numId="8" w16cid:durableId="481892920">
    <w:abstractNumId w:val="1"/>
  </w:num>
  <w:num w:numId="9" w16cid:durableId="50621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E80"/>
    <w:rsid w:val="0076197F"/>
    <w:rsid w:val="00847E5B"/>
    <w:rsid w:val="009A45B1"/>
    <w:rsid w:val="00AA1D8D"/>
    <w:rsid w:val="00B47730"/>
    <w:rsid w:val="00CB0664"/>
    <w:rsid w:val="00E05943"/>
    <w:rsid w:val="00EB75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FE85A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1186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2026-05-22T15:36:00Z</dcterms:created>
  <dcterms:modified xsi:type="dcterms:W3CDTF">2026-05-25T01:26:00Z</dcterms:modified>
  <cp:category/>
</cp:coreProperties>
</file>